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360" w:lineRule="auto"/>
        <w:ind w:firstLine="0"/>
        <w:jc w:val="left"/>
      </w:pPr>
      <w:r>
        <w:rPr>
          <w:rFonts w:ascii="Times New Roman" w:hAnsi="Times New Roman" w:eastAsia="Times New Roman"/>
          <w:b/>
          <w:i w:val="0"/>
          <w:sz w:val="28"/>
        </w:rPr>
        <w:t>УДК 373.3:376</w:t>
      </w:r>
    </w:p>
    <w:p>
      <w:pPr>
        <w:spacing w:after="160" w:line="360" w:lineRule="auto"/>
        <w:ind w:firstLine="0"/>
        <w:jc w:val="center"/>
      </w:pPr>
      <w:r>
        <w:rPr>
          <w:rFonts w:ascii="Times New Roman" w:hAnsi="Times New Roman" w:eastAsia="Times New Roman"/>
          <w:b/>
          <w:i w:val="0"/>
          <w:sz w:val="28"/>
        </w:rPr>
        <w:t>ИСПОЛЬЗОВАНИЕ ЦИФРОВЫХ ОБРАЗОВАТЕЛЬНЫХ РЕСУРСОВ В КОРРЕКЦИИ ДЕФИЦИТА ВНИМАНИЯ У МЛАДШИХ ШКОЛЬНИКОВ С СДВГ: МЕТОДИЧЕСКИЕ РЕКОМЕНДАЦИИ ДЛЯ УЧИТЕЛЕЙ</w:t>
      </w:r>
    </w:p>
    <w:p>
      <w:pPr>
        <w:spacing w:after="0" w:line="360" w:lineRule="auto"/>
        <w:ind w:firstLine="0"/>
        <w:jc w:val="right"/>
      </w:pPr>
      <w:r>
        <w:rPr>
          <w:rFonts w:ascii="Times New Roman" w:hAnsi="Times New Roman" w:eastAsia="Times New Roman"/>
          <w:b/>
          <w:i w:val="0"/>
          <w:sz w:val="28"/>
        </w:rPr>
        <w:t>Моторова Д.И.</w:t>
      </w:r>
    </w:p>
    <w:p>
      <w:pPr>
        <w:spacing w:after="200" w:line="360" w:lineRule="auto"/>
        <w:ind w:firstLine="0"/>
        <w:jc w:val="right"/>
      </w:pPr>
      <w:r>
        <w:rPr>
          <w:rFonts w:ascii="Times New Roman" w:hAnsi="Times New Roman" w:eastAsia="Times New Roman"/>
          <w:b w:val="0"/>
          <w:i w:val="0"/>
          <w:sz w:val="24"/>
        </w:rPr>
        <w:t>Санкт-Петербургский государственный университет</w:t>
      </w:r>
    </w:p>
    <w:p>
      <w:pPr>
        <w:spacing w:after="0" w:line="360" w:lineRule="auto"/>
        <w:ind w:firstLine="0"/>
      </w:pPr>
      <w:r>
        <w:rPr>
          <w:rFonts w:ascii="Times New Roman" w:hAnsi="Times New Roman" w:eastAsia="Times New Roman"/>
          <w:b/>
          <w:i w:val="0"/>
          <w:sz w:val="28"/>
        </w:rPr>
        <w:t>Аннотация.</w:t>
      </w:r>
    </w:p>
    <w:p>
      <w:pPr>
        <w:spacing w:after="0" w:line="360" w:lineRule="auto"/>
      </w:pPr>
      <w:r>
        <w:rPr>
          <w:rFonts w:ascii="Times New Roman" w:hAnsi="Times New Roman" w:eastAsia="Times New Roman"/>
          <w:b w:val="0"/>
          <w:i w:val="0"/>
          <w:sz w:val="28"/>
        </w:rPr>
        <w:t>В статье рассматривается проблема коррекции дефицита внимания у младших школьников с синдромом дефицита внимания и гиперактивности (СДВГ) средствами информационно-коммуникационных технологий (ИКТ). Обосновывается целесообразность применения цифровых инструментов в педагогической практике. Представлен пошаговый алгоритм включения ИКТ в урочную и внеурочную деятельность, приведены конкретные цифровые ресурсы и методические рекомендации для учителей начальных классов. Описаны условия эффективности и критерии оценки динамики развития внимания.</w:t>
      </w:r>
    </w:p>
    <w:p>
      <w:pPr>
        <w:spacing w:after="160" w:line="360" w:lineRule="auto"/>
        <w:ind w:firstLine="0"/>
      </w:pPr>
      <w:r>
        <w:rPr>
          <w:rFonts w:ascii="Times New Roman" w:hAnsi="Times New Roman" w:eastAsia="Times New Roman"/>
          <w:b w:val="0"/>
          <w:i w:val="0"/>
          <w:sz w:val="28"/>
        </w:rPr>
        <w:t>Ключевые слова: СДВГ, дефицит внимания, младшие школьники, ИКТ, педагогическая коррекция, рекомендации для учителей, цифровые образовательные ресурсы.</w:t>
      </w:r>
    </w:p>
    <w:p>
      <w:pPr>
        <w:pStyle w:val="Heading1"/>
      </w:pPr>
      <w:r>
        <w:t>Введение</w:t>
      </w:r>
    </w:p>
    <w:p>
      <w:pPr>
        <w:spacing w:after="0" w:line="360" w:lineRule="auto"/>
      </w:pPr>
      <w:r>
        <w:rPr>
          <w:rFonts w:ascii="Times New Roman" w:hAnsi="Times New Roman" w:eastAsia="Times New Roman"/>
          <w:b w:val="0"/>
          <w:i w:val="0"/>
          <w:sz w:val="28"/>
        </w:rPr>
        <w:t>Синдром дефицита внимания и гиперактивности (СДВГ) — одно из наиболее распространённых нарушений развития у детей младшего школьного возраста. По данным современных исследований, его распространённость среди учащихся начальной школы достигает 5–7%. Основные проявления — невнимательность, импульсивность и гиперактивность — затрудняют усвоение учебного материала, снижают академическую успеваемость и осложняют социальное взаимодействие в классе.</w:t>
      </w:r>
    </w:p>
    <w:p>
      <w:pPr>
        <w:spacing w:after="0" w:line="360" w:lineRule="auto"/>
      </w:pPr>
      <w:r>
        <w:rPr>
          <w:rFonts w:ascii="Times New Roman" w:hAnsi="Times New Roman" w:eastAsia="Times New Roman"/>
          <w:b w:val="0"/>
          <w:i w:val="0"/>
          <w:sz w:val="28"/>
        </w:rPr>
        <w:t>В условиях цифровизации образования перед учителем начальных классов открываются новые возможности педагогической поддержки таких детей. Информационно-коммуникационные технологии (ИКТ) позволяют предъявлять учебный материал полимодально (зрительно, аудиально, через действие), обеспечивать мгновенную обратную связь и повышать учебную мотивацию. Вместе с тем стихийное использование цифровых устройств может усилить гиперактивность и снизить концентрацию. Цель статьи — представить учителям практические рекомендации по целенаправленному и дозированному применению ИКТ в коррекции дефицита внимания у младших школьников с СДВГ.</w:t>
      </w:r>
    </w:p>
    <w:p>
      <w:pPr>
        <w:pStyle w:val="Heading1"/>
      </w:pPr>
      <w:r>
        <w:t>1. Психолого-педагогические основания применения ИКТ при СДВГ</w:t>
      </w:r>
    </w:p>
    <w:p>
      <w:pPr>
        <w:spacing w:after="0" w:line="360" w:lineRule="auto"/>
      </w:pPr>
      <w:r>
        <w:rPr>
          <w:rFonts w:ascii="Times New Roman" w:hAnsi="Times New Roman" w:eastAsia="Times New Roman"/>
          <w:b w:val="0"/>
          <w:i w:val="0"/>
          <w:sz w:val="28"/>
        </w:rPr>
        <w:t>Дефицит внимания при СДВГ связан с недостаточностью регуляторных функций мозга, отвечающих за удержание цели, торможение импульсивных реакций и переключение между задачами. Традиционные методы, основанные на длительных вербальных инструкциях и статических заданиях, часто малоэффективны, поскольку требуют от ребёнка продолжительного произвольного сосредоточения.</w:t>
      </w:r>
    </w:p>
    <w:p>
      <w:pPr>
        <w:spacing w:after="0" w:line="360" w:lineRule="auto"/>
      </w:pPr>
      <w:r>
        <w:rPr>
          <w:rFonts w:ascii="Times New Roman" w:hAnsi="Times New Roman" w:eastAsia="Times New Roman"/>
          <w:b w:val="0"/>
          <w:i w:val="0"/>
          <w:sz w:val="28"/>
        </w:rPr>
        <w:t>ИКТ обладают рядом свойств, соответствующих особенностям детей с СДВГ:</w:t>
      </w:r>
    </w:p>
    <w:p>
      <w:pPr>
        <w:pStyle w:val="ListBullet"/>
        <w:spacing w:line="360" w:lineRule="auto"/>
        <w:ind w:left="709" w:hanging="283"/>
        <w:jc w:val="both"/>
      </w:pPr>
      <w:r>
        <w:rPr>
          <w:rFonts w:ascii="Times New Roman" w:hAnsi="Times New Roman" w:eastAsia="Times New Roman"/>
          <w:sz w:val="28"/>
        </w:rPr>
        <w:t>Полимодальность. Одновременное воздействие на зрительный, слуховой и двигательный анализаторы облегчает восприятие и удержание информации.</w:t>
      </w:r>
    </w:p>
    <w:p>
      <w:pPr>
        <w:pStyle w:val="ListBullet"/>
        <w:spacing w:line="360" w:lineRule="auto"/>
        <w:ind w:left="709" w:hanging="283"/>
        <w:jc w:val="both"/>
      </w:pPr>
      <w:r>
        <w:rPr>
          <w:rFonts w:ascii="Times New Roman" w:hAnsi="Times New Roman" w:eastAsia="Times New Roman"/>
          <w:sz w:val="28"/>
        </w:rPr>
        <w:t>Немедленная обратная связь. Цифровая среда мгновенно реагирует на действие ребёнка, что критически важно для формирования самоконтроля.</w:t>
      </w:r>
    </w:p>
    <w:p>
      <w:pPr>
        <w:pStyle w:val="ListBullet"/>
        <w:spacing w:line="360" w:lineRule="auto"/>
        <w:ind w:left="709" w:hanging="283"/>
        <w:jc w:val="both"/>
      </w:pPr>
      <w:r>
        <w:rPr>
          <w:rFonts w:ascii="Times New Roman" w:hAnsi="Times New Roman" w:eastAsia="Times New Roman"/>
          <w:sz w:val="28"/>
        </w:rPr>
        <w:t>Структурированность. Визуальные таймеры и пошаговые инструкции снижают нагрузку на исполнительные функции.</w:t>
      </w:r>
    </w:p>
    <w:p>
      <w:pPr>
        <w:pStyle w:val="ListBullet"/>
        <w:spacing w:line="360" w:lineRule="auto"/>
        <w:ind w:left="709" w:hanging="283"/>
        <w:jc w:val="both"/>
      </w:pPr>
      <w:r>
        <w:rPr>
          <w:rFonts w:ascii="Times New Roman" w:hAnsi="Times New Roman" w:eastAsia="Times New Roman"/>
          <w:sz w:val="28"/>
        </w:rPr>
        <w:t>Игровая мотивация. Геймификация повышает вовлечённость ребёнка в учебный процесс.</w:t>
      </w:r>
    </w:p>
    <w:p>
      <w:pPr>
        <w:spacing w:after="0" w:line="360" w:lineRule="auto"/>
      </w:pPr>
      <w:r>
        <w:rPr>
          <w:rFonts w:ascii="Times New Roman" w:hAnsi="Times New Roman" w:eastAsia="Times New Roman"/>
          <w:b w:val="0"/>
          <w:i w:val="0"/>
          <w:sz w:val="28"/>
        </w:rPr>
        <w:t>Вместе с тем исследования подчёркивают, что коррекционный эффект достигается лишь при целенаправленном, дозированном и педагогически сопровождаемом использовании цифровых средств [1; 2].</w:t>
      </w:r>
    </w:p>
    <w:p>
      <w:pPr>
        <w:pStyle w:val="Heading1"/>
      </w:pPr>
      <w:r>
        <w:t>2. Пошаговый алгоритм включения ИКТ в работу учителя</w:t>
      </w:r>
    </w:p>
    <w:p>
      <w:pPr>
        <w:pStyle w:val="Heading2"/>
      </w:pPr>
      <w:r>
        <w:t>Шаг 1. Педагогическая диагностика (1–2 недели)</w:t>
      </w:r>
    </w:p>
    <w:p>
      <w:pPr>
        <w:spacing w:after="0" w:line="360" w:lineRule="auto"/>
      </w:pPr>
      <w:r>
        <w:rPr>
          <w:rFonts w:ascii="Times New Roman" w:hAnsi="Times New Roman" w:eastAsia="Times New Roman"/>
          <w:b w:val="0"/>
          <w:i w:val="0"/>
          <w:sz w:val="28"/>
        </w:rPr>
        <w:t>Учитель совместно со школьным психологом (или самостоятельно по согласованию) проводит первичную оценку:</w:t>
      </w:r>
    </w:p>
    <w:p>
      <w:pPr>
        <w:pStyle w:val="ListBullet"/>
        <w:spacing w:line="360" w:lineRule="auto"/>
        <w:ind w:left="709" w:hanging="283"/>
        <w:jc w:val="both"/>
      </w:pPr>
      <w:r>
        <w:rPr>
          <w:rFonts w:ascii="Times New Roman" w:hAnsi="Times New Roman" w:eastAsia="Times New Roman"/>
          <w:sz w:val="28"/>
        </w:rPr>
        <w:t>Корректурная проба Бурдона — оценка устойчивости и концентрации внимания;</w:t>
      </w:r>
    </w:p>
    <w:p>
      <w:pPr>
        <w:pStyle w:val="ListBullet"/>
        <w:spacing w:line="360" w:lineRule="auto"/>
        <w:ind w:left="709" w:hanging="283"/>
        <w:jc w:val="both"/>
      </w:pPr>
      <w:r>
        <w:rPr>
          <w:rFonts w:ascii="Times New Roman" w:hAnsi="Times New Roman" w:eastAsia="Times New Roman"/>
          <w:sz w:val="28"/>
        </w:rPr>
        <w:t>Таблицы Шульте — оценка переключаемости и распределения внимания;</w:t>
      </w:r>
    </w:p>
    <w:p>
      <w:pPr>
        <w:pStyle w:val="ListBullet"/>
        <w:spacing w:line="360" w:lineRule="auto"/>
        <w:ind w:left="709" w:hanging="283"/>
        <w:jc w:val="both"/>
      </w:pPr>
      <w:r>
        <w:rPr>
          <w:rFonts w:ascii="Times New Roman" w:hAnsi="Times New Roman" w:eastAsia="Times New Roman"/>
          <w:sz w:val="28"/>
        </w:rPr>
        <w:t>Наблюдение на уроке — фиксация количества отвлечений за 10 минут;</w:t>
      </w:r>
    </w:p>
    <w:p>
      <w:pPr>
        <w:pStyle w:val="ListBullet"/>
        <w:spacing w:line="360" w:lineRule="auto"/>
        <w:ind w:left="709" w:hanging="283"/>
        <w:jc w:val="both"/>
      </w:pPr>
      <w:r>
        <w:rPr>
          <w:rFonts w:ascii="Times New Roman" w:hAnsi="Times New Roman" w:eastAsia="Times New Roman"/>
          <w:sz w:val="28"/>
        </w:rPr>
        <w:t>Опросник для родителей (шкала Коннерса, SNAP-IV).</w:t>
      </w:r>
    </w:p>
    <w:p>
      <w:pPr>
        <w:spacing w:after="0" w:line="360" w:lineRule="auto"/>
      </w:pPr>
      <w:r>
        <w:rPr>
          <w:rFonts w:ascii="Times New Roman" w:hAnsi="Times New Roman" w:eastAsia="Times New Roman"/>
          <w:b w:val="0"/>
          <w:i w:val="0"/>
          <w:sz w:val="28"/>
        </w:rPr>
        <w:t>Результат: определение профиля трудностей (преобладание невнимательности, гиперактивности/импульсивности или смешанный тип) и фиксация базового уровня удержания внимания.</w:t>
      </w:r>
    </w:p>
    <w:p>
      <w:pPr>
        <w:pStyle w:val="Heading2"/>
      </w:pPr>
      <w:r>
        <w:t>Шаг 2. Подбор цифровых инструментов под конкретную задачу</w:t>
      </w:r>
    </w:p>
    <w:p>
      <w:pPr>
        <w:spacing w:after="0" w:line="360" w:lineRule="auto"/>
      </w:pPr>
      <w:r>
        <w:rPr>
          <w:rFonts w:ascii="Times New Roman" w:hAnsi="Times New Roman" w:eastAsia="Times New Roman"/>
          <w:b w:val="0"/>
          <w:i w:val="0"/>
          <w:sz w:val="28"/>
        </w:rPr>
        <w:t>Соотнесение выявленного дефицита с типом цифрового ресурса представлено в таблице 1.</w:t>
      </w:r>
    </w:p>
    <w:p>
      <w:pPr>
        <w:spacing w:after="80" w:line="360" w:lineRule="auto"/>
        <w:ind w:firstLine="0"/>
        <w:jc w:val="center"/>
      </w:pPr>
      <w:r>
        <w:rPr>
          <w:rFonts w:ascii="Times New Roman" w:hAnsi="Times New Roman" w:eastAsia="Times New Roman"/>
          <w:b/>
          <w:i w:val="0"/>
          <w:sz w:val="24"/>
        </w:rPr>
        <w:t>Таблица 1 — Соответствие дефицита и цифрового инструмента</w:t>
      </w:r>
    </w:p>
    <w:tbl>
      <w:tblPr>
        <w:tblStyle w:val="TableGrid"/>
        <w:tblW w:type="auto" w:w="0"/>
        <w:jc w:val="center"/>
        <w:tblLook w:firstColumn="1" w:firstRow="1" w:lastColumn="0" w:lastRow="0" w:noHBand="0" w:noVBand="1" w:val="04A0"/>
      </w:tblPr>
      <w:tblGrid>
        <w:gridCol w:w="3230"/>
        <w:gridCol w:w="3230"/>
        <w:gridCol w:w="3230"/>
      </w:tblGrid>
      <w:tr>
        <w:tc>
          <w:tcPr>
            <w:tcW w:type="dxa" w:w="2381"/>
            <w:vAlign w:val="center"/>
            <w:shd w:fill="D9E2F3"/>
          </w:tcPr>
          <w:p>
            <w:pPr>
              <w:spacing w:line="240" w:lineRule="auto" w:after="0"/>
              <w:ind w:firstLine="0"/>
              <w:jc w:val="left"/>
            </w:pPr>
            <w:r/>
            <w:r>
              <w:rPr>
                <w:rFonts w:ascii="Times New Roman" w:hAnsi="Times New Roman" w:eastAsia="Times New Roman"/>
                <w:b/>
                <w:sz w:val="20"/>
              </w:rPr>
              <w:t>Выявленный дефицит</w:t>
            </w:r>
          </w:p>
        </w:tc>
        <w:tc>
          <w:tcPr>
            <w:tcW w:type="dxa" w:w="2835"/>
            <w:vAlign w:val="center"/>
            <w:shd w:fill="D9E2F3"/>
          </w:tcPr>
          <w:p>
            <w:pPr>
              <w:spacing w:line="240" w:lineRule="auto" w:after="0"/>
              <w:ind w:firstLine="0"/>
              <w:jc w:val="left"/>
            </w:pPr>
            <w:r/>
            <w:r>
              <w:rPr>
                <w:rFonts w:ascii="Times New Roman" w:hAnsi="Times New Roman" w:eastAsia="Times New Roman"/>
                <w:b/>
                <w:sz w:val="20"/>
              </w:rPr>
              <w:t>Тип инструмента</w:t>
            </w:r>
          </w:p>
        </w:tc>
        <w:tc>
          <w:tcPr>
            <w:tcW w:type="dxa" w:w="3402"/>
            <w:vAlign w:val="center"/>
            <w:shd w:fill="D9E2F3"/>
          </w:tcPr>
          <w:p>
            <w:pPr>
              <w:spacing w:line="240" w:lineRule="auto" w:after="0"/>
              <w:ind w:firstLine="0"/>
              <w:jc w:val="left"/>
            </w:pPr>
            <w:r/>
            <w:r>
              <w:rPr>
                <w:rFonts w:ascii="Times New Roman" w:hAnsi="Times New Roman" w:eastAsia="Times New Roman"/>
                <w:b/>
                <w:sz w:val="20"/>
              </w:rPr>
              <w:t>Конкретные ресурсы</w:t>
            </w:r>
          </w:p>
        </w:tc>
      </w:tr>
      <w:tr>
        <w:tc>
          <w:tcPr>
            <w:tcW w:type="dxa" w:w="2381"/>
            <w:vAlign w:val="center"/>
          </w:tcPr>
          <w:p>
            <w:pPr>
              <w:spacing w:line="240" w:lineRule="auto" w:after="0"/>
              <w:ind w:firstLine="0"/>
              <w:jc w:val="left"/>
            </w:pPr>
            <w:r/>
            <w:r>
              <w:rPr>
                <w:rFonts w:ascii="Times New Roman" w:hAnsi="Times New Roman" w:eastAsia="Times New Roman"/>
                <w:b w:val="0"/>
                <w:sz w:val="18"/>
              </w:rPr>
              <w:t>Слабая устойчивость внимания</w:t>
            </w:r>
          </w:p>
        </w:tc>
        <w:tc>
          <w:tcPr>
            <w:tcW w:type="dxa" w:w="2835"/>
            <w:vAlign w:val="center"/>
          </w:tcPr>
          <w:p>
            <w:pPr>
              <w:spacing w:line="240" w:lineRule="auto" w:after="0"/>
              <w:ind w:firstLine="0"/>
              <w:jc w:val="left"/>
            </w:pPr>
            <w:r/>
            <w:r>
              <w:rPr>
                <w:rFonts w:ascii="Times New Roman" w:hAnsi="Times New Roman" w:eastAsia="Times New Roman"/>
                <w:b w:val="0"/>
                <w:sz w:val="18"/>
              </w:rPr>
              <w:t>Тренажёры зрительного поиска</w:t>
            </w:r>
          </w:p>
        </w:tc>
        <w:tc>
          <w:tcPr>
            <w:tcW w:type="dxa" w:w="3402"/>
            <w:vAlign w:val="center"/>
          </w:tcPr>
          <w:p>
            <w:pPr>
              <w:spacing w:line="240" w:lineRule="auto" w:after="0"/>
              <w:ind w:firstLine="0"/>
              <w:jc w:val="left"/>
            </w:pPr>
            <w:r/>
            <w:r>
              <w:rPr>
                <w:rFonts w:ascii="Times New Roman" w:hAnsi="Times New Roman" w:eastAsia="Times New Roman"/>
                <w:b w:val="0"/>
                <w:sz w:val="18"/>
              </w:rPr>
              <w:t>Таблицы Шульте онлайн, «Найди отличия»</w:t>
            </w:r>
          </w:p>
        </w:tc>
      </w:tr>
      <w:tr>
        <w:tc>
          <w:tcPr>
            <w:tcW w:type="dxa" w:w="2381"/>
            <w:vAlign w:val="center"/>
          </w:tcPr>
          <w:p>
            <w:pPr>
              <w:spacing w:line="240" w:lineRule="auto" w:after="0"/>
              <w:ind w:firstLine="0"/>
              <w:jc w:val="left"/>
            </w:pPr>
            <w:r/>
            <w:r>
              <w:rPr>
                <w:rFonts w:ascii="Times New Roman" w:hAnsi="Times New Roman" w:eastAsia="Times New Roman"/>
                <w:b w:val="0"/>
                <w:sz w:val="18"/>
              </w:rPr>
              <w:t>Импульсивность, слабый самоконтроль</w:t>
            </w:r>
          </w:p>
        </w:tc>
        <w:tc>
          <w:tcPr>
            <w:tcW w:type="dxa" w:w="2835"/>
            <w:vAlign w:val="center"/>
          </w:tcPr>
          <w:p>
            <w:pPr>
              <w:spacing w:line="240" w:lineRule="auto" w:after="0"/>
              <w:ind w:firstLine="0"/>
              <w:jc w:val="left"/>
            </w:pPr>
            <w:r/>
            <w:r>
              <w:rPr>
                <w:rFonts w:ascii="Times New Roman" w:hAnsi="Times New Roman" w:eastAsia="Times New Roman"/>
                <w:b w:val="0"/>
                <w:sz w:val="18"/>
              </w:rPr>
              <w:t>Игры с правилами и таймером</w:t>
            </w:r>
          </w:p>
        </w:tc>
        <w:tc>
          <w:tcPr>
            <w:tcW w:type="dxa" w:w="3402"/>
            <w:vAlign w:val="center"/>
          </w:tcPr>
          <w:p>
            <w:pPr>
              <w:spacing w:line="240" w:lineRule="auto" w:after="0"/>
              <w:ind w:firstLine="0"/>
              <w:jc w:val="left"/>
            </w:pPr>
            <w:r/>
            <w:r>
              <w:rPr>
                <w:rFonts w:ascii="Times New Roman" w:hAnsi="Times New Roman" w:eastAsia="Times New Roman"/>
                <w:b w:val="0"/>
                <w:sz w:val="18"/>
              </w:rPr>
              <w:t>Kahoot!, Quizizz</w:t>
            </w:r>
          </w:p>
        </w:tc>
      </w:tr>
      <w:tr>
        <w:tc>
          <w:tcPr>
            <w:tcW w:type="dxa" w:w="2381"/>
            <w:vAlign w:val="center"/>
          </w:tcPr>
          <w:p>
            <w:pPr>
              <w:spacing w:line="240" w:lineRule="auto" w:after="0"/>
              <w:ind w:firstLine="0"/>
              <w:jc w:val="left"/>
            </w:pPr>
            <w:r/>
            <w:r>
              <w:rPr>
                <w:rFonts w:ascii="Times New Roman" w:hAnsi="Times New Roman" w:eastAsia="Times New Roman"/>
                <w:b w:val="0"/>
                <w:sz w:val="18"/>
              </w:rPr>
              <w:t>Слабая переключаемость</w:t>
            </w:r>
          </w:p>
        </w:tc>
        <w:tc>
          <w:tcPr>
            <w:tcW w:type="dxa" w:w="2835"/>
            <w:vAlign w:val="center"/>
          </w:tcPr>
          <w:p>
            <w:pPr>
              <w:spacing w:line="240" w:lineRule="auto" w:after="0"/>
              <w:ind w:firstLine="0"/>
              <w:jc w:val="left"/>
            </w:pPr>
            <w:r/>
            <w:r>
              <w:rPr>
                <w:rFonts w:ascii="Times New Roman" w:hAnsi="Times New Roman" w:eastAsia="Times New Roman"/>
                <w:b w:val="0"/>
                <w:sz w:val="18"/>
              </w:rPr>
              <w:t>Задания на сортировку и классификацию</w:t>
            </w:r>
          </w:p>
        </w:tc>
        <w:tc>
          <w:tcPr>
            <w:tcW w:type="dxa" w:w="3402"/>
            <w:vAlign w:val="center"/>
          </w:tcPr>
          <w:p>
            <w:pPr>
              <w:spacing w:line="240" w:lineRule="auto" w:after="0"/>
              <w:ind w:firstLine="0"/>
              <w:jc w:val="left"/>
            </w:pPr>
            <w:r/>
            <w:r>
              <w:rPr>
                <w:rFonts w:ascii="Times New Roman" w:hAnsi="Times New Roman" w:eastAsia="Times New Roman"/>
                <w:b w:val="0"/>
                <w:sz w:val="18"/>
              </w:rPr>
              <w:t>LearningApps.org, Wordwall</w:t>
            </w:r>
          </w:p>
        </w:tc>
      </w:tr>
      <w:tr>
        <w:tc>
          <w:tcPr>
            <w:tcW w:type="dxa" w:w="2381"/>
            <w:vAlign w:val="center"/>
          </w:tcPr>
          <w:p>
            <w:pPr>
              <w:spacing w:line="240" w:lineRule="auto" w:after="0"/>
              <w:ind w:firstLine="0"/>
              <w:jc w:val="left"/>
            </w:pPr>
            <w:r/>
            <w:r>
              <w:rPr>
                <w:rFonts w:ascii="Times New Roman" w:hAnsi="Times New Roman" w:eastAsia="Times New Roman"/>
                <w:b w:val="0"/>
                <w:sz w:val="18"/>
              </w:rPr>
              <w:t>Низкая учебная мотивация</w:t>
            </w:r>
          </w:p>
        </w:tc>
        <w:tc>
          <w:tcPr>
            <w:tcW w:type="dxa" w:w="2835"/>
            <w:vAlign w:val="center"/>
          </w:tcPr>
          <w:p>
            <w:pPr>
              <w:spacing w:line="240" w:lineRule="auto" w:after="0"/>
              <w:ind w:firstLine="0"/>
              <w:jc w:val="left"/>
            </w:pPr>
            <w:r/>
            <w:r>
              <w:rPr>
                <w:rFonts w:ascii="Times New Roman" w:hAnsi="Times New Roman" w:eastAsia="Times New Roman"/>
                <w:b w:val="0"/>
                <w:sz w:val="18"/>
              </w:rPr>
              <w:t>Геймифицированные платформы</w:t>
            </w:r>
          </w:p>
        </w:tc>
        <w:tc>
          <w:tcPr>
            <w:tcW w:type="dxa" w:w="3402"/>
            <w:vAlign w:val="center"/>
          </w:tcPr>
          <w:p>
            <w:pPr>
              <w:spacing w:line="240" w:lineRule="auto" w:after="0"/>
              <w:ind w:firstLine="0"/>
              <w:jc w:val="left"/>
            </w:pPr>
            <w:r/>
            <w:r>
              <w:rPr>
                <w:rFonts w:ascii="Times New Roman" w:hAnsi="Times New Roman" w:eastAsia="Times New Roman"/>
                <w:b w:val="0"/>
                <w:sz w:val="18"/>
              </w:rPr>
              <w:t>Kahoot!, Wordwall, Genially</w:t>
            </w:r>
          </w:p>
        </w:tc>
      </w:tr>
      <w:tr>
        <w:tc>
          <w:tcPr>
            <w:tcW w:type="dxa" w:w="2381"/>
            <w:vAlign w:val="center"/>
          </w:tcPr>
          <w:p>
            <w:pPr>
              <w:spacing w:line="240" w:lineRule="auto" w:after="0"/>
              <w:ind w:firstLine="0"/>
              <w:jc w:val="left"/>
            </w:pPr>
            <w:r/>
            <w:r>
              <w:rPr>
                <w:rFonts w:ascii="Times New Roman" w:hAnsi="Times New Roman" w:eastAsia="Times New Roman"/>
                <w:b w:val="0"/>
                <w:sz w:val="18"/>
              </w:rPr>
              <w:t>Дефицит планирования</w:t>
            </w:r>
          </w:p>
        </w:tc>
        <w:tc>
          <w:tcPr>
            <w:tcW w:type="dxa" w:w="2835"/>
            <w:vAlign w:val="center"/>
          </w:tcPr>
          <w:p>
            <w:pPr>
              <w:spacing w:line="240" w:lineRule="auto" w:after="0"/>
              <w:ind w:firstLine="0"/>
              <w:jc w:val="left"/>
            </w:pPr>
            <w:r/>
            <w:r>
              <w:rPr>
                <w:rFonts w:ascii="Times New Roman" w:hAnsi="Times New Roman" w:eastAsia="Times New Roman"/>
                <w:b w:val="0"/>
                <w:sz w:val="18"/>
              </w:rPr>
              <w:t>Визуальные расписания, таймеры</w:t>
            </w:r>
          </w:p>
        </w:tc>
        <w:tc>
          <w:tcPr>
            <w:tcW w:type="dxa" w:w="3402"/>
            <w:vAlign w:val="center"/>
          </w:tcPr>
          <w:p>
            <w:pPr>
              <w:spacing w:line="240" w:lineRule="auto" w:after="0"/>
              <w:ind w:firstLine="0"/>
              <w:jc w:val="left"/>
            </w:pPr>
            <w:r/>
            <w:r>
              <w:rPr>
                <w:rFonts w:ascii="Times New Roman" w:hAnsi="Times New Roman" w:eastAsia="Times New Roman"/>
                <w:b w:val="0"/>
                <w:sz w:val="18"/>
              </w:rPr>
              <w:t>Time Timer, Visual Schedule</w:t>
            </w:r>
          </w:p>
        </w:tc>
      </w:tr>
      <w:tr>
        <w:tc>
          <w:tcPr>
            <w:tcW w:type="dxa" w:w="2381"/>
            <w:vAlign w:val="center"/>
          </w:tcPr>
          <w:p>
            <w:pPr>
              <w:spacing w:line="240" w:lineRule="auto" w:after="0"/>
              <w:ind w:firstLine="0"/>
              <w:jc w:val="left"/>
            </w:pPr>
            <w:r/>
            <w:r>
              <w:rPr>
                <w:rFonts w:ascii="Times New Roman" w:hAnsi="Times New Roman" w:eastAsia="Times New Roman"/>
                <w:b w:val="0"/>
                <w:sz w:val="18"/>
              </w:rPr>
              <w:t>Слабость слухоречевой памяти</w:t>
            </w:r>
          </w:p>
        </w:tc>
        <w:tc>
          <w:tcPr>
            <w:tcW w:type="dxa" w:w="2835"/>
            <w:vAlign w:val="center"/>
          </w:tcPr>
          <w:p>
            <w:pPr>
              <w:spacing w:line="240" w:lineRule="auto" w:after="0"/>
              <w:ind w:firstLine="0"/>
              <w:jc w:val="left"/>
            </w:pPr>
            <w:r/>
            <w:r>
              <w:rPr>
                <w:rFonts w:ascii="Times New Roman" w:hAnsi="Times New Roman" w:eastAsia="Times New Roman"/>
                <w:b w:val="0"/>
                <w:sz w:val="18"/>
              </w:rPr>
              <w:t>Аудиотренажёры</w:t>
            </w:r>
          </w:p>
        </w:tc>
        <w:tc>
          <w:tcPr>
            <w:tcW w:type="dxa" w:w="3402"/>
            <w:vAlign w:val="center"/>
          </w:tcPr>
          <w:p>
            <w:pPr>
              <w:spacing w:line="240" w:lineRule="auto" w:after="0"/>
              <w:ind w:firstLine="0"/>
              <w:jc w:val="left"/>
            </w:pPr>
            <w:r/>
            <w:r>
              <w:rPr>
                <w:rFonts w:ascii="Times New Roman" w:hAnsi="Times New Roman" w:eastAsia="Times New Roman"/>
                <w:b w:val="0"/>
                <w:sz w:val="18"/>
              </w:rPr>
              <w:t>«Повтори ритм», приложения для развития фонематического слуха</w:t>
            </w:r>
          </w:p>
        </w:tc>
      </w:tr>
    </w:tbl>
    <w:p>
      <w:pPr>
        <w:pStyle w:val="Heading2"/>
      </w:pPr>
      <w:r>
        <w:t>Шаг 3. Структурирование фрагмента урока с применением ИКТ</w:t>
      </w:r>
    </w:p>
    <w:p>
      <w:pPr>
        <w:spacing w:after="0" w:line="360" w:lineRule="auto"/>
      </w:pPr>
      <w:r>
        <w:rPr>
          <w:rFonts w:ascii="Times New Roman" w:hAnsi="Times New Roman" w:eastAsia="Times New Roman"/>
          <w:b w:val="0"/>
          <w:i w:val="0"/>
          <w:sz w:val="28"/>
        </w:rPr>
        <w:t>Каждый фрагмент с использованием цифрового ресурса рекомендуется выстраивать по единой схеме (продолжительность — не более 7–10 минут):</w:t>
      </w:r>
    </w:p>
    <w:p>
      <w:pPr>
        <w:pStyle w:val="ListNumber"/>
        <w:spacing w:line="360" w:lineRule="auto"/>
        <w:ind w:left="709" w:hanging="283"/>
        <w:jc w:val="both"/>
      </w:pPr>
      <w:r>
        <w:rPr>
          <w:rFonts w:ascii="Times New Roman" w:hAnsi="Times New Roman" w:eastAsia="Times New Roman"/>
          <w:sz w:val="28"/>
        </w:rPr>
        <w:t>Ритуал начала (1–2 мин). Проговаривание цели: «Сейчас мы тренируем внимание».</w:t>
      </w:r>
    </w:p>
    <w:p>
      <w:pPr>
        <w:pStyle w:val="ListNumber"/>
        <w:spacing w:line="360" w:lineRule="auto"/>
        <w:ind w:left="709" w:hanging="283"/>
        <w:jc w:val="both"/>
      </w:pPr>
      <w:r>
        <w:rPr>
          <w:rFonts w:ascii="Times New Roman" w:hAnsi="Times New Roman" w:eastAsia="Times New Roman"/>
          <w:sz w:val="28"/>
        </w:rPr>
        <w:t>Основное цифровое задание (5–7 мин). Работа строго по визуальному таймеру.</w:t>
      </w:r>
    </w:p>
    <w:p>
      <w:pPr>
        <w:pStyle w:val="ListNumber"/>
        <w:spacing w:line="360" w:lineRule="auto"/>
        <w:ind w:left="709" w:hanging="283"/>
        <w:jc w:val="both"/>
      </w:pPr>
      <w:r>
        <w:rPr>
          <w:rFonts w:ascii="Times New Roman" w:hAnsi="Times New Roman" w:eastAsia="Times New Roman"/>
          <w:sz w:val="28"/>
        </w:rPr>
        <w:t>Двигательная пауза (2–3 мин). Обязательна для снятия двигательного напряжения.</w:t>
      </w:r>
    </w:p>
    <w:p>
      <w:pPr>
        <w:pStyle w:val="ListNumber"/>
        <w:spacing w:line="360" w:lineRule="auto"/>
        <w:ind w:left="709" w:hanging="283"/>
        <w:jc w:val="both"/>
      </w:pPr>
      <w:r>
        <w:rPr>
          <w:rFonts w:ascii="Times New Roman" w:hAnsi="Times New Roman" w:eastAsia="Times New Roman"/>
          <w:sz w:val="28"/>
        </w:rPr>
        <w:t>Рефлексия (1–2 мин). Вопросы: «Что было трудно? Что помогло тебе сосредоточиться?»</w:t>
      </w:r>
    </w:p>
    <w:p>
      <w:pPr>
        <w:pStyle w:val="Heading2"/>
      </w:pPr>
      <w:r>
        <w:t>Шаг 4. Внедрение системы самонаблюдения</w:t>
      </w:r>
    </w:p>
    <w:p>
      <w:pPr>
        <w:spacing w:after="0" w:line="360" w:lineRule="auto"/>
      </w:pPr>
      <w:r>
        <w:rPr>
          <w:rFonts w:ascii="Times New Roman" w:hAnsi="Times New Roman" w:eastAsia="Times New Roman"/>
          <w:b w:val="0"/>
          <w:i w:val="0"/>
          <w:sz w:val="28"/>
        </w:rPr>
        <w:t>Учитель помогает ребёнку вести дневник внимания — простую таблицу, где ученик самостоятельно отмечает условными символами, насколько ему удалось удерживать внимание во время занятия. Результаты обсуждаются еженедельно, прогресс поощряется даже при небольшом улучшении. Это способствует постепенному переносу внешнего контроля во внутренний самоконтроль.</w:t>
      </w:r>
    </w:p>
    <w:p>
      <w:pPr>
        <w:pStyle w:val="Heading2"/>
      </w:pPr>
      <w:r>
        <w:t>Шаг 5. Мониторинг динамики (каждые 2–3 недели)</w:t>
      </w:r>
    </w:p>
    <w:p>
      <w:pPr>
        <w:spacing w:after="0" w:line="360" w:lineRule="auto"/>
      </w:pPr>
      <w:r>
        <w:rPr>
          <w:rFonts w:ascii="Times New Roman" w:hAnsi="Times New Roman" w:eastAsia="Times New Roman"/>
          <w:b w:val="0"/>
          <w:i w:val="0"/>
          <w:sz w:val="28"/>
        </w:rPr>
        <w:t>Проводится повторная экспресс-диагностика (корректурная проба, наблюдение). При необходимости задание усложняется либо инструмент заменяется. Данные фиксируются в карте индивидуального развития.</w:t>
      </w:r>
    </w:p>
    <w:p>
      <w:pPr>
        <w:pStyle w:val="Heading2"/>
      </w:pPr>
      <w:r>
        <w:t>Шаг 6. Взаимодействие с родителями и специалистами</w:t>
      </w:r>
    </w:p>
    <w:p>
      <w:pPr>
        <w:spacing w:after="0" w:line="360" w:lineRule="auto"/>
      </w:pPr>
      <w:r>
        <w:rPr>
          <w:rFonts w:ascii="Times New Roman" w:hAnsi="Times New Roman" w:eastAsia="Times New Roman"/>
          <w:b w:val="0"/>
          <w:i w:val="0"/>
          <w:sz w:val="28"/>
        </w:rPr>
        <w:t>Проводится консультация для родителей: обсуждаются возможности использования выбранных приложений дома, продолжительность занятий и единые правила работы с цифровыми устройствами. Обеспечивается согласованность требований школы и семьи.</w:t>
      </w:r>
    </w:p>
    <w:p>
      <w:pPr>
        <w:pStyle w:val="Heading1"/>
      </w:pPr>
      <w:r>
        <w:t>3. Конкретные разработки и цифровые ресурсы для учителя</w:t>
      </w:r>
    </w:p>
    <w:p>
      <w:pPr>
        <w:spacing w:after="0" w:line="360" w:lineRule="auto"/>
      </w:pPr>
      <w:r>
        <w:rPr>
          <w:rFonts w:ascii="Times New Roman" w:hAnsi="Times New Roman" w:eastAsia="Times New Roman"/>
          <w:b w:val="0"/>
          <w:i w:val="0"/>
          <w:sz w:val="28"/>
        </w:rPr>
        <w:t>Нейротренажёры и коррекционные программы: «Викиум» (детский режим), NeuroTracker, Cogmed (при наличии лицензии), Play Attention (с БОС-оборудованием).</w:t>
      </w:r>
    </w:p>
    <w:p>
      <w:pPr>
        <w:spacing w:after="0" w:line="360" w:lineRule="auto"/>
      </w:pPr>
      <w:r>
        <w:rPr>
          <w:rFonts w:ascii="Times New Roman" w:hAnsi="Times New Roman" w:eastAsia="Times New Roman"/>
          <w:b w:val="0"/>
          <w:i w:val="0"/>
          <w:sz w:val="28"/>
        </w:rPr>
        <w:t>Образовательные платформы с геймификацией: LearningApps.org (создание интерактивных упражнений), Wordwall (шаблоны игр), Kahoot! и Quizizz (викторины с обратной связью), Genially (интерактивные квесты).</w:t>
      </w:r>
    </w:p>
    <w:p>
      <w:pPr>
        <w:spacing w:after="0" w:line="360" w:lineRule="auto"/>
      </w:pPr>
      <w:r>
        <w:rPr>
          <w:rFonts w:ascii="Times New Roman" w:hAnsi="Times New Roman" w:eastAsia="Times New Roman"/>
          <w:b w:val="0"/>
          <w:i w:val="0"/>
          <w:sz w:val="28"/>
        </w:rPr>
        <w:t>Инструменты саморегуляции: Time Timer (визуальный таймер), Visual Schedule (визуальное расписание), дневник внимания (таблица в Google Таблицах).</w:t>
      </w:r>
    </w:p>
    <w:p>
      <w:pPr>
        <w:spacing w:after="0" w:line="360" w:lineRule="auto"/>
      </w:pPr>
      <w:r>
        <w:rPr>
          <w:rFonts w:ascii="Times New Roman" w:hAnsi="Times New Roman" w:eastAsia="Times New Roman"/>
          <w:b w:val="0"/>
          <w:i w:val="0"/>
          <w:sz w:val="28"/>
        </w:rPr>
        <w:t>Интерактивные физкультминутки: видеоролики с танцевальными разминками, онлайн-игры на координацию.</w:t>
      </w:r>
    </w:p>
    <w:p>
      <w:pPr>
        <w:spacing w:after="0" w:line="360" w:lineRule="auto"/>
        <w:ind w:firstLine="0"/>
      </w:pPr>
      <w:r>
        <w:rPr>
          <w:rFonts w:ascii="Times New Roman" w:hAnsi="Times New Roman" w:eastAsia="Times New Roman"/>
          <w:b/>
          <w:i w:val="0"/>
          <w:sz w:val="28"/>
        </w:rPr>
        <w:t>Пример фрагмента урока (математика, 2 класс):</w:t>
      </w:r>
    </w:p>
    <w:p>
      <w:pPr>
        <w:pStyle w:val="ListBullet"/>
        <w:spacing w:line="360" w:lineRule="auto"/>
        <w:ind w:left="709" w:hanging="283"/>
        <w:jc w:val="both"/>
      </w:pPr>
      <w:r>
        <w:rPr>
          <w:rFonts w:ascii="Times New Roman" w:hAnsi="Times New Roman" w:eastAsia="Times New Roman"/>
          <w:sz w:val="28"/>
        </w:rPr>
        <w:t>Задание 1 (5 мин): таблица Шульте 3×3 онлайн — найти числа по порядку.</w:t>
      </w:r>
    </w:p>
    <w:p>
      <w:pPr>
        <w:pStyle w:val="ListBullet"/>
        <w:spacing w:line="360" w:lineRule="auto"/>
        <w:ind w:left="709" w:hanging="283"/>
        <w:jc w:val="both"/>
      </w:pPr>
      <w:r>
        <w:rPr>
          <w:rFonts w:ascii="Times New Roman" w:hAnsi="Times New Roman" w:eastAsia="Times New Roman"/>
          <w:sz w:val="28"/>
        </w:rPr>
        <w:t>Задание 2 (7 мин): игра «Найди пару» на LearningApps — соотнесение примера и ответа.</w:t>
      </w:r>
    </w:p>
    <w:p>
      <w:pPr>
        <w:pStyle w:val="ListBullet"/>
        <w:spacing w:line="360" w:lineRule="auto"/>
        <w:ind w:left="709" w:hanging="283"/>
        <w:jc w:val="both"/>
      </w:pPr>
      <w:r>
        <w:rPr>
          <w:rFonts w:ascii="Times New Roman" w:hAnsi="Times New Roman" w:eastAsia="Times New Roman"/>
          <w:sz w:val="28"/>
        </w:rPr>
        <w:t>Задание 3 (5 мин): викторина Kahoot! из пяти вопросов с таймером 20 секунд.</w:t>
      </w:r>
    </w:p>
    <w:p>
      <w:pPr>
        <w:pStyle w:val="ListBullet"/>
        <w:spacing w:line="360" w:lineRule="auto"/>
        <w:ind w:left="709" w:hanging="283"/>
        <w:jc w:val="both"/>
      </w:pPr>
      <w:r>
        <w:rPr>
          <w:rFonts w:ascii="Times New Roman" w:hAnsi="Times New Roman" w:eastAsia="Times New Roman"/>
          <w:sz w:val="28"/>
        </w:rPr>
        <w:t>Рефлексия: отметка в дневнике внимания.</w:t>
      </w:r>
    </w:p>
    <w:p>
      <w:pPr>
        <w:pStyle w:val="Heading1"/>
      </w:pPr>
      <w:r>
        <w:t>4. Условия эффективности и критерии оценки</w:t>
      </w:r>
    </w:p>
    <w:p>
      <w:pPr>
        <w:spacing w:after="0" w:line="360" w:lineRule="auto"/>
      </w:pPr>
      <w:r>
        <w:rPr>
          <w:rFonts w:ascii="Times New Roman" w:hAnsi="Times New Roman" w:eastAsia="Times New Roman"/>
          <w:b w:val="0"/>
          <w:i w:val="0"/>
          <w:sz w:val="28"/>
        </w:rPr>
        <w:t>Эффективность применения ИКТ обеспечивается соблюдением следующих условий:</w:t>
      </w:r>
    </w:p>
    <w:p>
      <w:pPr>
        <w:pStyle w:val="ListBullet"/>
        <w:spacing w:line="360" w:lineRule="auto"/>
        <w:ind w:left="709" w:hanging="283"/>
        <w:jc w:val="both"/>
      </w:pPr>
      <w:r>
        <w:rPr>
          <w:rFonts w:ascii="Times New Roman" w:hAnsi="Times New Roman" w:eastAsia="Times New Roman"/>
          <w:sz w:val="28"/>
        </w:rPr>
        <w:t>Целенаправленность — цифровой ресурс применяется с чётко определённой педагогической задачей.</w:t>
      </w:r>
    </w:p>
    <w:p>
      <w:pPr>
        <w:pStyle w:val="ListBullet"/>
        <w:spacing w:line="360" w:lineRule="auto"/>
        <w:ind w:left="709" w:hanging="283"/>
        <w:jc w:val="both"/>
      </w:pPr>
      <w:r>
        <w:rPr>
          <w:rFonts w:ascii="Times New Roman" w:hAnsi="Times New Roman" w:eastAsia="Times New Roman"/>
          <w:sz w:val="28"/>
        </w:rPr>
        <w:t>Дозированность — продолжительность работы с экраном соответствует возрастным и индивидуальным возможностям ребёнка.</w:t>
      </w:r>
    </w:p>
    <w:p>
      <w:pPr>
        <w:pStyle w:val="ListBullet"/>
        <w:spacing w:line="360" w:lineRule="auto"/>
        <w:ind w:left="709" w:hanging="283"/>
        <w:jc w:val="both"/>
      </w:pPr>
      <w:r>
        <w:rPr>
          <w:rFonts w:ascii="Times New Roman" w:hAnsi="Times New Roman" w:eastAsia="Times New Roman"/>
          <w:sz w:val="28"/>
        </w:rPr>
        <w:t>Сочетание с традиционными методами — ИКТ дополняют, а не заменяют психолого-педагогические и поведенческие методы поддержки.</w:t>
      </w:r>
    </w:p>
    <w:p>
      <w:pPr>
        <w:pStyle w:val="ListBullet"/>
        <w:spacing w:line="360" w:lineRule="auto"/>
        <w:ind w:left="709" w:hanging="283"/>
        <w:jc w:val="both"/>
      </w:pPr>
      <w:r>
        <w:rPr>
          <w:rFonts w:ascii="Times New Roman" w:hAnsi="Times New Roman" w:eastAsia="Times New Roman"/>
          <w:sz w:val="28"/>
        </w:rPr>
        <w:t>Адаптивность — содержание заданий подстраивается под актуальный уровень развития ребёнка.</w:t>
      </w:r>
    </w:p>
    <w:p>
      <w:pPr>
        <w:spacing w:after="0" w:line="360" w:lineRule="auto"/>
        <w:ind w:firstLine="0"/>
      </w:pPr>
      <w:r>
        <w:rPr>
          <w:rFonts w:ascii="Times New Roman" w:hAnsi="Times New Roman" w:eastAsia="Times New Roman"/>
          <w:b/>
          <w:i w:val="0"/>
          <w:sz w:val="28"/>
        </w:rPr>
        <w:t>Критерии оценки динамики:</w:t>
      </w:r>
    </w:p>
    <w:p>
      <w:pPr>
        <w:pStyle w:val="ListNumber"/>
        <w:spacing w:line="360" w:lineRule="auto"/>
        <w:ind w:left="709" w:hanging="283"/>
        <w:jc w:val="both"/>
      </w:pPr>
      <w:r>
        <w:rPr>
          <w:rFonts w:ascii="Times New Roman" w:hAnsi="Times New Roman" w:eastAsia="Times New Roman"/>
          <w:sz w:val="28"/>
        </w:rPr>
        <w:t>увеличение времени удержания внимания на учебной задаче (в минутах);</w:t>
      </w:r>
    </w:p>
    <w:p>
      <w:pPr>
        <w:pStyle w:val="ListNumber"/>
        <w:spacing w:line="360" w:lineRule="auto"/>
        <w:ind w:left="709" w:hanging="283"/>
        <w:jc w:val="both"/>
      </w:pPr>
      <w:r>
        <w:rPr>
          <w:rFonts w:ascii="Times New Roman" w:hAnsi="Times New Roman" w:eastAsia="Times New Roman"/>
          <w:sz w:val="28"/>
        </w:rPr>
        <w:t>снижение количества отвлечений за занятие;</w:t>
      </w:r>
    </w:p>
    <w:p>
      <w:pPr>
        <w:pStyle w:val="ListNumber"/>
        <w:spacing w:line="360" w:lineRule="auto"/>
        <w:ind w:left="709" w:hanging="283"/>
        <w:jc w:val="both"/>
      </w:pPr>
      <w:r>
        <w:rPr>
          <w:rFonts w:ascii="Times New Roman" w:hAnsi="Times New Roman" w:eastAsia="Times New Roman"/>
          <w:sz w:val="28"/>
        </w:rPr>
        <w:t>рост числа правильно выполненных заданий в корректурной пробе;</w:t>
      </w:r>
    </w:p>
    <w:p>
      <w:pPr>
        <w:pStyle w:val="ListNumber"/>
        <w:spacing w:line="360" w:lineRule="auto"/>
        <w:ind w:left="709" w:hanging="283"/>
        <w:jc w:val="both"/>
      </w:pPr>
      <w:r>
        <w:rPr>
          <w:rFonts w:ascii="Times New Roman" w:hAnsi="Times New Roman" w:eastAsia="Times New Roman"/>
          <w:sz w:val="28"/>
        </w:rPr>
        <w:t>положительная динамика по шкале Коннерса (оценка родителей и педагога);</w:t>
      </w:r>
    </w:p>
    <w:p>
      <w:pPr>
        <w:pStyle w:val="ListNumber"/>
        <w:spacing w:line="360" w:lineRule="auto"/>
        <w:ind w:left="709" w:hanging="283"/>
        <w:jc w:val="both"/>
      </w:pPr>
      <w:r>
        <w:rPr>
          <w:rFonts w:ascii="Times New Roman" w:hAnsi="Times New Roman" w:eastAsia="Times New Roman"/>
          <w:sz w:val="28"/>
        </w:rPr>
        <w:t>повышение учебной мотивации (анкетирование ребёнка).</w:t>
      </w:r>
    </w:p>
    <w:p>
      <w:pPr>
        <w:pStyle w:val="Heading1"/>
      </w:pPr>
      <w:r>
        <w:t>Заключение</w:t>
      </w:r>
    </w:p>
    <w:p>
      <w:pPr>
        <w:spacing w:after="0" w:line="360" w:lineRule="auto"/>
      </w:pPr>
      <w:r>
        <w:rPr>
          <w:rFonts w:ascii="Times New Roman" w:hAnsi="Times New Roman" w:eastAsia="Times New Roman"/>
          <w:b w:val="0"/>
          <w:i w:val="0"/>
          <w:sz w:val="28"/>
        </w:rPr>
        <w:t>Применение ИКТ в коррекции дефицита внимания у младших школьников с СДВГ может выступать эффективным дополнением к традиционным педагогическим методам при условии индивидуального подбора инструментов и систематического сопровождения. Предложенный алгоритм — от педагогического наблюдения и подбора ресурсов до мониторинга динамики — позволяет учителю начальных классов целенаправленно включать цифровые средства в образовательный процесс. Ключевыми условиями остаются педагогическое сопровождение, дозированность и согласованность действий школы и семьи. Дальнейшие исследования целесообразно направить на разработку дифференцированных программ ИКТ-поддержки с учётом индивидуальных образовательных потребностей детей с СДВГ.</w:t>
      </w:r>
    </w:p>
    <w:p>
      <w:pPr>
        <w:pStyle w:val="Heading1"/>
      </w:pPr>
      <w:r>
        <w:t>Список литературы</w:t>
      </w:r>
    </w:p>
    <w:p>
      <w:pPr>
        <w:spacing w:line="240" w:lineRule="auto" w:after="100"/>
        <w:ind w:left="0" w:firstLine="0"/>
      </w:pPr>
      <w:r>
        <w:rPr>
          <w:rFonts w:ascii="Times New Roman" w:hAnsi="Times New Roman" w:eastAsia="Times New Roman"/>
          <w:sz w:val="24"/>
        </w:rPr>
        <w:t>1. Ketchum Walsh, R. Using Goal Setting with Self-Monitoring Technology to Increase On-Task Performance in Students with Attention Difficulties. — George Mason University, 2024.</w:t>
      </w:r>
    </w:p>
    <w:p>
      <w:pPr>
        <w:spacing w:line="240" w:lineRule="auto" w:after="100"/>
        <w:ind w:left="0" w:firstLine="0"/>
      </w:pPr>
      <w:r>
        <w:rPr>
          <w:rFonts w:ascii="Times New Roman" w:hAnsi="Times New Roman" w:eastAsia="Times New Roman"/>
          <w:sz w:val="24"/>
        </w:rPr>
        <w:t>2. Las tecnologías de la información y la comunicación como apoyo en la educación primaria de niños con déficit de atención e hiperactividad // Revista Transdiciplinaria de Estudios Sociales y Tecnológicos. — 2025. — Vol. 5, № 2. — P. 82–88.</w:t>
      </w:r>
    </w:p>
    <w:p>
      <w:pPr>
        <w:spacing w:line="240" w:lineRule="auto" w:after="100"/>
        <w:ind w:left="0" w:firstLine="0"/>
      </w:pPr>
      <w:r>
        <w:rPr>
          <w:rFonts w:ascii="Times New Roman" w:hAnsi="Times New Roman" w:eastAsia="Times New Roman"/>
          <w:sz w:val="24"/>
        </w:rPr>
        <w:t>3. Estrategias de intervención psicoeducativa mediadas por herramientas tecnológicas para el fortalecimiento del aprendizaje en estudiantes con TDAH // Zenodo. — 2026.</w:t>
      </w:r>
    </w:p>
    <w:p>
      <w:pPr>
        <w:spacing w:after="80" w:line="360" w:lineRule="auto"/>
        <w:ind w:firstLine="0"/>
      </w:pPr>
      <w:r>
        <w:rPr>
          <w:rFonts w:ascii="Times New Roman" w:hAnsi="Times New Roman" w:eastAsia="Times New Roman"/>
          <w:b w:val="0"/>
          <w:i/>
          <w:sz w:val="20"/>
        </w:rPr>
        <w:t>Примечание: сведения о публикации в издании «Солнечный свет» и номер свидетельства CB7797309 приведены в исходном тексте автора; перед подачей статьи рекомендуется проверить соответствие этих сведений фактическим выходным данным публикации.</w:t>
      </w:r>
    </w:p>
    <w:sectPr w:rsidR="00FC693F" w:rsidRPr="0006063C" w:rsidSect="00034616">
      <w:footerReference w:type="default" r:id="rId9"/>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709"/>
      <w:jc w:val="both"/>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ind w:firstLine="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heme="majorHAnsi" w:eastAsiaTheme="majorEastAsia" w:hAnsiTheme="majorHAnsi" w:cstheme="majorBidi" w:ascii="Times New Roman" w:hAnsi="Times New Roman" w:eastAsia="Times New Roman"/>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