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SimSun" w:hAnsi="Times New Roman" w:hint="default"/>
          <w:b/>
          <w:bCs/>
          <w:sz w:val="28"/>
          <w:szCs w:val="28"/>
        </w:rPr>
      </w:pPr>
      <w:r>
        <w:rPr>
          <w:rFonts w:ascii="Times New Roman" w:cs="Times New Roman" w:eastAsia="SimSun" w:hAnsi="Times New Roman" w:hint="default"/>
          <w:b/>
          <w:bCs/>
          <w:sz w:val="28"/>
          <w:szCs w:val="28"/>
        </w:rPr>
        <w:t>РАЗВИТИЕ МАТЕМАТИЧЕСКОЙ ГРАМОТНОСТИ У УЧАЩИХСЯ 4 КЛАССА: ОПЫТ РЕАЛИЗАЦИИ КУРСА «ШКОЛА МАТЕМАТИЧЕСКОЙ ГРАМОТНОСТИ»</w:t>
      </w:r>
    </w:p>
    <w:p>
      <w:pPr>
        <w:pStyle w:val="style0"/>
        <w:jc w:val="center"/>
        <w:rPr>
          <w:rFonts w:ascii="Times New Roman" w:cs="Times New Roman" w:eastAsia="SimSun" w:hAnsi="Times New Roman" w:hint="default"/>
          <w:b/>
          <w:bCs/>
          <w:sz w:val="28"/>
          <w:szCs w:val="28"/>
        </w:rPr>
      </w:pPr>
    </w:p>
    <w:p>
      <w:pPr>
        <w:pStyle w:val="style0"/>
        <w:wordWrap w:val="false"/>
        <w:jc w:val="right"/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</w:pP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Зв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 xml:space="preserve">анько Роза Васильевна </w:t>
      </w:r>
    </w:p>
    <w:p>
      <w:pPr>
        <w:pStyle w:val="style0"/>
        <w:wordWrap w:val="false"/>
        <w:jc w:val="right"/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 xml:space="preserve">Горбачева Маргарита Александровна </w:t>
      </w:r>
    </w:p>
    <w:p>
      <w:pPr>
        <w:pStyle w:val="style0"/>
        <w:wordWrap/>
        <w:jc w:val="right"/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У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чител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 xml:space="preserve">я начальных классов 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 xml:space="preserve">КГУ 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"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 xml:space="preserve">Рязановская НШ 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отдела образования Костанайского района "УО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А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КО</w:t>
      </w:r>
    </w:p>
    <w:p>
      <w:pPr>
        <w:pStyle w:val="style0"/>
        <w:wordWrap w:val="false"/>
        <w:jc w:val="right"/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с.Рязанов</w:t>
      </w: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ка</w:t>
      </w:r>
    </w:p>
    <w:p>
      <w:pPr>
        <w:pStyle w:val="style0"/>
        <w:wordWrap/>
        <w:jc w:val="right"/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ru-RU"/>
        </w:rPr>
      </w:pPr>
      <w:r>
        <w:rPr>
          <w:rFonts w:ascii="Times New Roman" w:cs="Times New Roman" w:eastAsia="SimSun" w:hAnsi="Times New Roman" w:hint="default"/>
          <w:b/>
          <w:bCs/>
          <w:sz w:val="28"/>
          <w:szCs w:val="28"/>
          <w:highlight w:val="yellow"/>
          <w:lang w:val="en-US"/>
        </w:rPr>
        <w:t>rayzanovka@mail.ru</w:t>
      </w:r>
    </w:p>
    <w:p>
      <w:pPr>
        <w:pStyle w:val="style0"/>
        <w:wordWrap/>
        <w:jc w:val="right"/>
        <w:rPr>
          <w:rFonts w:ascii="Times New Roman" w:cs="Times New Roman" w:eastAsia="SimSun" w:hAnsi="Times New Roman" w:hint="default"/>
          <w:b/>
          <w:bCs/>
          <w:sz w:val="28"/>
          <w:szCs w:val="28"/>
          <w:lang w:val="ru-RU"/>
        </w:rPr>
      </w:pPr>
    </w:p>
    <w:p>
      <w:pPr>
        <w:pStyle w:val="style0"/>
        <w:wordWrap/>
        <w:jc w:val="center"/>
        <w:rPr>
          <w:rFonts w:ascii="Times New Roman" w:cs="Times New Roman" w:eastAsia="SimSun" w:hAnsi="Times New Roman" w:hint="default"/>
          <w:b/>
          <w:bCs/>
          <w:i/>
          <w:iCs/>
          <w:sz w:val="28"/>
          <w:szCs w:val="28"/>
          <w:lang w:val="ru-RU"/>
        </w:rPr>
      </w:pPr>
      <w:r>
        <w:rPr>
          <w:rFonts w:ascii="Times New Roman" w:cs="Times New Roman" w:eastAsia="SimSun" w:hAnsi="Times New Roman" w:hint="default"/>
          <w:b/>
          <w:bCs/>
          <w:i/>
          <w:iCs/>
          <w:sz w:val="28"/>
          <w:szCs w:val="28"/>
          <w:lang w:val="ru-RU"/>
        </w:rPr>
        <w:t>Аннотация</w:t>
      </w:r>
    </w:p>
    <w:p>
      <w:pPr>
        <w:pStyle w:val="style0"/>
        <w:wordWrap/>
        <w:ind w:firstLine="708" w:firstLineChars="0"/>
        <w:jc w:val="both"/>
        <w:rPr>
          <w:rFonts w:ascii="Times New Roman" w:cs="Times New Roman" w:eastAsia="SimSun" w:hAnsi="Times New Roman" w:hint="default"/>
          <w:b w:val="false"/>
          <w:bCs w:val="false"/>
          <w:i/>
          <w:iCs/>
          <w:sz w:val="28"/>
          <w:szCs w:val="28"/>
          <w:lang w:val="ru-RU"/>
        </w:rPr>
      </w:pPr>
      <w:r>
        <w:rPr>
          <w:rFonts w:ascii="Times New Roman" w:cs="Times New Roman" w:eastAsia="SimSun" w:hAnsi="Times New Roman" w:hint="default"/>
          <w:b w:val="false"/>
          <w:bCs w:val="false"/>
          <w:i/>
          <w:iCs/>
          <w:sz w:val="28"/>
          <w:szCs w:val="28"/>
          <w:lang w:val="ru-RU"/>
        </w:rPr>
        <w:t>В статье представлен опыт реализации курса «Школа математической грамотности» для учащихся 4 класса, направленного на развитие функциональных математических навыков. Раскрыты методические подходы, структура курса и примеры практико-ориентированных заданий. Приведены результаты диагностики, подтверждающие положительную динамику развития вычислительных, логических и аналитических умений учащихся. Сделан вывод о эффективности системной работы по формированию математической грамотности в начальной школе.</w:t>
      </w:r>
    </w:p>
    <w:p>
      <w:pPr>
        <w:pStyle w:val="style0"/>
        <w:wordWrap/>
        <w:jc w:val="both"/>
        <w:rPr>
          <w:rFonts w:ascii="Times New Roman" w:cs="Times New Roman" w:eastAsia="SimSun" w:hAnsi="Times New Roman" w:hint="default"/>
          <w:b w:val="false"/>
          <w:bCs w:val="false"/>
          <w:i/>
          <w:iCs/>
          <w:sz w:val="28"/>
          <w:szCs w:val="28"/>
          <w:lang w:val="ru-RU"/>
        </w:rPr>
      </w:pPr>
      <w:r>
        <w:rPr>
          <w:rFonts w:ascii="Times New Roman" w:cs="Times New Roman" w:eastAsia="SimSun" w:hAnsi="Times New Roman" w:hint="default"/>
          <w:b/>
          <w:bCs/>
          <w:sz w:val="28"/>
          <w:szCs w:val="28"/>
          <w:lang w:val="ru-RU"/>
        </w:rPr>
        <w:tab/>
      </w:r>
      <w:r>
        <w:rPr>
          <w:rFonts w:ascii="Times New Roman" w:cs="Times New Roman" w:eastAsia="SimSun" w:hAnsi="Times New Roman" w:hint="default"/>
          <w:b/>
          <w:bCs/>
          <w:i/>
          <w:iCs/>
          <w:sz w:val="28"/>
          <w:szCs w:val="28"/>
          <w:lang w:val="ru-RU"/>
        </w:rPr>
        <w:t xml:space="preserve">Ключевые слова: </w:t>
      </w:r>
      <w:r>
        <w:rPr>
          <w:rFonts w:ascii="Times New Roman" w:cs="Times New Roman" w:eastAsia="SimSun" w:hAnsi="Times New Roman" w:hint="default"/>
          <w:b w:val="false"/>
          <w:bCs w:val="false"/>
          <w:i/>
          <w:iCs/>
          <w:sz w:val="28"/>
          <w:szCs w:val="28"/>
          <w:lang w:val="ru-RU"/>
        </w:rPr>
        <w:t>математическая грамотность; функциональная грамотность; начальная школа; 4 класс; рабочие листы; практико-ориентированные задачи; вариативный компонент; письменные вычисления; движение; величины; логическое мышление; диагностика; образовательная программа; методические подходы.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</w:p>
    <w:bookmarkStart w:id="0" w:name="_GoBack"/>
    <w:bookmarkEnd w:id="0"/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Введение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 xml:space="preserve">Современная образовательная система Республики Казахстан ориентирована на формирование у школьников функциональной грамотности — способности применять знания в практических ситуациях. Одним из ключевых направлений функциональной грамотности является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математическая грамотность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, включающая умение анализировать информацию, работать с величинами, интерпретировать данные, находить решения реальных задач. Особенно актуальна эта задача в начальной школе, где закладывается основа логического и количественного мышления.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Несмотря на то что учащиеся 4 класса уверенно владеют базовыми вычислительными действиями, многие испытывают трудности в решении задач практического характера, требующих понимания взаимосвязей между величинами, выбора подходящей стратегии, составления модели или рассуждения шаг за шагом. Традиционные учебные материалы не всегда обеспечивают достаточный объём практико-ориентированных заданий, направленных на развитие гибкого математического мышления.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Для решения данной проблемы была разработана и апробирована программа «Школа математической грамотности» для 4 класса. Статья описывает опыт её реализации, методологические подходы, содержание курса и результаты обучения.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Теоретические основы формирования математической грамотности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Математическая грамотность трактуется как способность человека применять математические знания и навыки в разнообразных жизненных ситуациях. Согласно международным исследованиям (PISA, TIMSS) и методическим рекомендациям Министерства просвещения РК, она включает следующие компоненты: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понимание величин и их взаимосвязей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работу с моделями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, схемами и алгоритмами;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выбор стратегии решения задачи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интерпретацию и анализ данных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умение рассуждать и делать выводы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применение математических знаний в нестандартных ситуациях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Для четвероклассников особенно важны такие элементы, как работа с реальными величинами (вес, длина, время, цена), понимание скорости и движения, решение задач на зависимость между величинами, умение выполнять вычисления несколькими способами.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Возрастные особенности учащихся 9–10 лет позволяют эффективно формировать эти навыки при условии, что обучение строится на: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практических ситуациях и жизненных примерах;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разнообразии заданий;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сочетании устных и письменных вычислений;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моделировании, схемах и рассуждении;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опоре на логическое мышление и исследовательские приёмы.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Методологические подходы курса «Школа математической грамотности»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Курс разработан в соответствии с требованиями ГОСО НО РК и Приказа №130, и направлен на системное развитие математической грамотности в рамках вариативного компонента. Основные методологические принципы: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1. Практическая направленность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Каждый урок связан с реальными ситуациями: покупки, движение, распределение предметов, подсчёт времени, построение геометрических фигур, работа с величинами. Это помогает детям увидеть, как математика работает в жизни.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2. Разноуровневость задания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Рабочие листы включают задания от базового уровня до повышенной сложности: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прямые вычисления,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логические задачи,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практико-ориентированные ситуации,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задачи с недостающими данными,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на рассуждение и объяснение хода мысли.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3. Развитие логики и критического мышления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Дети учатся объяснять выбор решения, находить ошибки, сравнивать разные способы, моделировать ситуации с помощью схем.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4. Формирование универсальных учебных действий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Курс способствует развитию: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регулятивных навыков (планирование и контроль действий);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познавательных (анализ, сравнение, обобщение);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коммуникативных (работа в паре, аргументирование решения);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личностных (уверенность, самостоятельность).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5. Использование авторских рабочих листов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 каждому занятию разработан отдельный рабочий лист, включающий: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текстовые задачи,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практические задания,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схемы,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краткие объяснения,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самооценку.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Эта система обеспечивает наглядность и структурное восприятие материала.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Содержание курса и типы заданий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Курс включает 34 тематических занятия. Основные направления: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1. Величины и операции над ними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Дети учатся измерять, складывать длины, массы и объёмы, решать практические задачи (например, «Как рассчитать объём коробки?»).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2. Выражения и уравнения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Работа с неизвестными величинами, составление выражений, использование обратных действий.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3. Письменные вычисления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Письменное сложение, вычитание, умножение на двузначные и трёхзначные числа, письменное деление, деление с остатком.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4. Геометрические фигуры и величины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Площадь сложных фигур, периметр, окружность, построения.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5. Задачи на движение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Включают три ключевых типа: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движение навстречу,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в противоположных направлениях,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движение в одном направлении (догон).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Каждый блок сопровождается практическими примерами и визуальными моделями.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6. Логические и нестандартные задачи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Задачи на недостающие данные, задачи с двумя разностями, комбинированные задачи.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7. Практико-ориентированные задания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Например: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«Как рассчитать стоимость набора школьных принадлежностей?»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«Как разделить предметы поровну между группами?»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«Как определить время до встречи?»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Рабочие листы позволяют ученикам применять знания в реальных ситуациях.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Практическая часть: опыт реализации курса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Курс реализован в 4 классе. Занятия проводились один раз в неделю в течение учебного года.</w:t>
      </w:r>
    </w:p>
    <w:p>
      <w:pPr>
        <w:pStyle w:val="style3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Наблюдения за динамикой учащихся показали: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значительное улучшение навыков устного счёта;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рост уверенности в решении текстовых задач;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снижение количества ошибок в письменных вычислениях;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развитие способности объяснять свои действия;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активизацию познавательной деятельности — дети стали быстрее включаться в работу и интересоваться альтернативными способами решения.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Ученики активно использовали схемы, чертежи, модели, что улучшило понимание задач на движение и зависимости величин.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br/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Особенно высокие результаты показали задания, связанные с жизненными ситуациями — дети проявляли интерес и понимали, как применять математику вне уроков.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Результаты и эффективность внедрения курса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На итоговом диагностическом материале было отмечено: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повышение качества решения задач на 25–40%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улучшение понимания взаимосвязей между величинами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умение выбирать оптимальный способ вычисления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рост самостоятельности в работе с уравнениями и выражениями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;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устойчивое позитивное отношение к предмету</w:t>
      </w:r>
      <w:r>
        <w:rPr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i w:val="false"/>
          <w:iCs w:val="false"/>
          <w:sz w:val="28"/>
          <w:szCs w:val="28"/>
        </w:rPr>
        <w:t>Ученики стали лучше выполнять задания PISA-формата (работа с информацией, анализ данных, объяснение выбора стратегии).</w:t>
      </w:r>
      <w:r>
        <w:rPr>
          <w:rFonts w:ascii="Times New Roman" w:cs="Times New Roman" w:hAnsi="Times New Roman" w:hint="default"/>
          <w:i w:val="false"/>
          <w:iCs w:val="false"/>
          <w:sz w:val="28"/>
          <w:szCs w:val="28"/>
        </w:rPr>
        <w:br/>
      </w:r>
      <w:r>
        <w:rPr>
          <w:rFonts w:ascii="Times New Roman" w:cs="Times New Roman" w:hAnsi="Times New Roman" w:hint="default"/>
          <w:i w:val="false"/>
          <w:iCs w:val="false"/>
          <w:sz w:val="28"/>
          <w:szCs w:val="28"/>
        </w:rPr>
        <w:t>Программа показала эффективность как инструмент формирования функциональной математической грамотности.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480" w:firstLineChars="200"/>
        <w:jc w:val="both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  <w:r>
        <w:rPr/>
        <w:drawing>
          <wp:inline distL="0" distT="0" distB="0" distR="0">
            <wp:extent cx="5770880" cy="3576954"/>
            <wp:effectExtent l="0" t="0" r="5080" b="4445"/>
            <wp:docPr id="1026" name="Изображение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9"/>
                    <pic:cNvPicPr/>
                  </pic:nvPicPr>
                  <pic:blipFill>
                    <a:blip r:embed="rId2" cstate="print"/>
                    <a:srcRect l="0" t="1143" r="0" b="0"/>
                    <a:stretch/>
                  </pic:blipFill>
                  <pic:spPr>
                    <a:xfrm rot="0">
                      <a:off x="0" y="0"/>
                      <a:ext cx="5770880" cy="357695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center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>Диаграмма 1</w:t>
      </w:r>
    </w:p>
    <w:p>
      <w:pPr>
        <w:pStyle w:val="style0"/>
        <w:rPr>
          <w:rFonts w:hint="default"/>
          <w:lang w:val="ru-RU"/>
        </w:rPr>
      </w:pP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 xml:space="preserve">Как видно на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>диаграмме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 xml:space="preserve"> 1, показатели успешности значительно выросли после прохождения курса: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выполнение задач повысилось с 55% до 78%;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вычислительные навыки — с 48% до 72%;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логическое мышление — с 52% до 80%;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  <w:lang w:val="ru-RU"/>
        </w:rPr>
        <w:t xml:space="preserve">- </w:t>
      </w: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практические задания — с 60% до 85%.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 w:val="false"/>
          <w:bCs w:val="false"/>
          <w:i w:val="false"/>
          <w:iCs w:val="false"/>
          <w:sz w:val="28"/>
          <w:szCs w:val="28"/>
        </w:rPr>
        <w:t>Такая динамика демонстрирует, что системное обучение в рамках курса способствует формированию устойчивых навыков анализа, планирования и выбора стратегии решения задач.</w:t>
      </w: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2" w:firstLineChars="200"/>
        <w:jc w:val="both"/>
        <w:textAlignment w:val="auto"/>
        <w:rPr>
          <w:rStyle w:val="style87"/>
          <w:rFonts w:ascii="Times New Roman" w:cs="Times New Roman" w:hAnsi="Times New Roman" w:hint="default"/>
          <w:b/>
          <w:bCs/>
          <w:i w:val="false"/>
          <w:iCs w:val="false"/>
          <w:sz w:val="28"/>
          <w:szCs w:val="28"/>
        </w:rPr>
      </w:pP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2" w:firstLineChars="200"/>
        <w:jc w:val="both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/>
          <w:bCs/>
          <w:i w:val="false"/>
          <w:iCs w:val="false"/>
          <w:sz w:val="28"/>
          <w:szCs w:val="28"/>
        </w:rPr>
        <w:t>Заключение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i w:val="false"/>
          <w:iCs w:val="false"/>
          <w:sz w:val="28"/>
          <w:szCs w:val="28"/>
        </w:rPr>
        <w:t>Реализация авторского курса «Школа математической грамотности» показала, что системная работа с практико-ориентированными заданиями позволяет значительно повысить математическую грамотность учащихся 4 класса. У детей формируются не только вычислительные навыки, но и способность анализировать, рассуждать, применять знания в реальных ситуациях.</w:t>
      </w:r>
    </w:p>
    <w:p>
      <w:pPr>
        <w:pStyle w:val="style94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  <w:r>
        <w:rPr>
          <w:rFonts w:ascii="Times New Roman" w:cs="Times New Roman" w:hAnsi="Times New Roman" w:hint="default"/>
          <w:i w:val="false"/>
          <w:iCs w:val="false"/>
          <w:sz w:val="28"/>
          <w:szCs w:val="28"/>
        </w:rPr>
        <w:t>Программа может быть рекомендована для реализации в других школах как в рамках вариативного компонента, так и как дополнительный курс по углублению математических навыков. Перспективами развития является расширение курса для 3–5 классов, создание электронных тренажёров и разработка методических материалов для педагогов.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0" w:firstLineChars="200"/>
        <w:jc w:val="both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</w:p>
    <w:p>
      <w:pPr>
        <w:pStyle w:val="style2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2" w:firstLineChars="200"/>
        <w:jc w:val="center"/>
        <w:textAlignment w:val="auto"/>
        <w:rPr>
          <w:rFonts w:ascii="Times New Roman" w:cs="Times New Roman" w:hAnsi="Times New Roman" w:hint="default"/>
          <w:i w:val="false"/>
          <w:iCs w:val="false"/>
          <w:sz w:val="28"/>
          <w:szCs w:val="28"/>
        </w:rPr>
      </w:pPr>
      <w:r>
        <w:rPr>
          <w:rStyle w:val="style87"/>
          <w:rFonts w:ascii="Times New Roman" w:cs="Times New Roman" w:hAnsi="Times New Roman" w:hint="default"/>
          <w:b/>
          <w:bCs/>
          <w:i w:val="false"/>
          <w:iCs w:val="false"/>
          <w:sz w:val="28"/>
          <w:szCs w:val="28"/>
        </w:rPr>
        <w:t>Список литературы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Государственный общеобязательный стандарт начального образования Республики Казахстан. – Астана: 2022.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Приказ Министерства просвещения Республики Казахстан №130 от 5 апреля 2022 года.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Бурдина Г.М. Развитие функциональной грамотности младших школьников. – М.: Просвещение, 2021.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Колесникова Е.А. Математика и функциональная грамотность. – М.: Учитель, 2022.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Назарова Н.Ф. Функциональная грамотность школьников: диагностика и развитие. – СПб.: Питер, 2021.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Методические рекомендации НИШ по формированию функциональной грамотности. – Астана, 2023.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Сборник современных методик преподавания математики в начальной школе. – Алматы: 2025.</w:t>
      </w:r>
    </w:p>
    <w:p>
      <w:pPr>
        <w:pStyle w:val="style94"/>
        <w:keepNext w:val="false"/>
        <w:keepLines w:val="false"/>
        <w:pageBreakBefore w:val="false"/>
        <w:widowControl/>
        <w:numPr>
          <w:ilvl w:val="0"/>
          <w:numId w:val="1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425" w:leftChars="0" w:hanging="425" w:firstLineChars="0"/>
        <w:jc w:val="both"/>
        <w:textAlignment w:val="auto"/>
        <w:rPr>
          <w:rFonts w:ascii="Times New Roman" w:cs="Times New Roman" w:hAnsi="Times New Roman" w:hint="default"/>
          <w:sz w:val="28"/>
          <w:szCs w:val="28"/>
        </w:rPr>
      </w:pPr>
      <w:r>
        <w:rPr>
          <w:rFonts w:ascii="Times New Roman" w:cs="Times New Roman" w:hAnsi="Times New Roman" w:hint="default"/>
          <w:sz w:val="28"/>
          <w:szCs w:val="28"/>
        </w:rPr>
        <w:t>Практикум по развитию математической грамотности учащихся начальной школы. – Астана: 2025.</w:t>
      </w:r>
    </w:p>
    <w:p>
      <w:pPr>
        <w:pStyle w:val="style0"/>
        <w:keepNext w:val="false"/>
        <w:keepLines w:val="false"/>
        <w:pageBreakBefore w:val="false"/>
        <w:widowControl/>
        <w:numPr>
          <w:ilvl w:val="0"/>
          <w:numId w:val="0"/>
        </w:numPr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before="0" w:beforeAutospacing="false" w:after="0" w:afterAutospacing="false"/>
        <w:jc w:val="both"/>
        <w:textAlignment w:val="auto"/>
        <w:rPr/>
      </w:pPr>
    </w:p>
    <w:p>
      <w:pPr>
        <w:pStyle w:val="style0"/>
        <w:keepNext w:val="false"/>
        <w:keepLines w:val="false"/>
        <w:pageBreakBefore w:val="false"/>
        <w:widowControl/>
        <w:kinsoku/>
        <w:wordWrap/>
        <w:overflowPunct/>
        <w:topLinePunct w:val="false"/>
        <w:autoSpaceDE/>
        <w:autoSpaceDN/>
        <w:bidi w:val="false"/>
        <w:adjustRightInd/>
        <w:snapToGrid/>
        <w:spacing w:beforeAutospacing="false" w:afterAutospacing="false"/>
        <w:ind w:left="0" w:firstLine="562" w:firstLineChars="200"/>
        <w:jc w:val="both"/>
        <w:textAlignment w:val="auto"/>
        <w:rPr>
          <w:rFonts w:ascii="Times New Roman" w:cs="Times New Roman" w:eastAsia="SimSun" w:hAnsi="Times New Roman" w:hint="default"/>
          <w:b/>
          <w:bCs/>
          <w:sz w:val="28"/>
          <w:szCs w:val="28"/>
          <w:lang w:val="ru-RU"/>
        </w:rPr>
      </w:pPr>
    </w:p>
    <w:p>
      <w:pPr>
        <w:pStyle w:val="style0"/>
        <w:wordWrap/>
        <w:jc w:val="right"/>
        <w:rPr>
          <w:rFonts w:ascii="Times New Roman" w:cs="Times New Roman" w:eastAsia="SimSun" w:hAnsi="Times New Roman" w:hint="default"/>
          <w:b/>
          <w:bCs/>
          <w:sz w:val="28"/>
          <w:szCs w:val="28"/>
          <w:lang w:val="ru-RU"/>
        </w:rPr>
      </w:pPr>
    </w:p>
    <w:sectPr>
      <w:pgSz w:w="11906" w:h="16838" w:orient="portrait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Courier New">
    <w:altName w:val="Courier New"/>
    <w:panose1 w:val="02070309020000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Segoe UI Variable Text Light">
    <w:altName w:val="Segoe UI Variable Text Light"/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Rockwell Nova">
    <w:altName w:val="Rockwell Nova"/>
    <w:panose1 w:val="02060503020000020403"/>
    <w:charset w:val="00"/>
    <w:family w:val="auto"/>
    <w:pitch w:val="default"/>
    <w:sig w:usb0="80000287" w:usb1="00000002" w:usb2="00000000" w:usb3="00000000" w:csb0="0000019F" w:csb1="00000000"/>
  </w:font>
  <w:font w:name="Symbol">
    <w:altName w:val="Symbol"/>
    <w:panose1 w:val="05050102010000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3343C69"/>
    <w:lvl w:ilvl="0">
      <w:start w:val="1"/>
      <w:numFmt w:val="decimal"/>
      <w:lvlText w:val="%1."/>
      <w:lvlJc w:val="left"/>
      <w:pPr>
        <w:tabs>
          <w:tab w:val="left" w:leader="none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VerticalSpacing w:val="156"/>
  <w:displayHorizontalDrawingGridEvery w:val="1"/>
  <w:displayVerticalDrawingGridEvery w:val="1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/>
    <w:rPr>
      <w:rFonts w:ascii="Calibri" w:cs="宋体" w:eastAsia="宋体" w:hAnsi="Calibri"/>
      <w:lang w:val="en-US" w:bidi="ar-SA" w:eastAsia="zh-CN"/>
    </w:rPr>
  </w:style>
  <w:style w:type="paragraph" w:styleId="style1">
    <w:name w:val="heading 1"/>
    <w:next w:val="style0"/>
    <w:qFormat/>
    <w:uiPriority w:val="0"/>
    <w:pPr>
      <w:spacing w:before="0" w:beforeAutospacing="true" w:after="0" w:afterAutospacing="true"/>
      <w:jc w:val="left"/>
    </w:pPr>
    <w:rPr>
      <w:rFonts w:ascii="SimSun" w:cs="SimSun" w:eastAsia="SimSun" w:hAnsi="SimSun" w:hint="eastAsia"/>
      <w:b/>
      <w:bCs/>
      <w:kern w:val="32"/>
      <w:sz w:val="48"/>
      <w:szCs w:val="48"/>
      <w:lang w:val="en-US" w:eastAsia="zh-CN"/>
    </w:rPr>
  </w:style>
  <w:style w:type="paragraph" w:styleId="style2">
    <w:name w:val="heading 2"/>
    <w:next w:val="style0"/>
    <w:qFormat/>
    <w:uiPriority w:val="0"/>
    <w:pPr>
      <w:spacing w:before="0" w:beforeAutospacing="true" w:after="0" w:afterAutospacing="true"/>
      <w:jc w:val="left"/>
    </w:pPr>
    <w:rPr>
      <w:rFonts w:ascii="SimSun" w:cs="SimSun" w:eastAsia="SimSun" w:hAnsi="SimSun" w:hint="eastAsia"/>
      <w:b/>
      <w:bCs/>
      <w:i/>
      <w:iCs/>
      <w:kern w:val="0"/>
      <w:sz w:val="36"/>
      <w:szCs w:val="36"/>
      <w:lang w:val="en-US" w:eastAsia="zh-CN"/>
    </w:rPr>
  </w:style>
  <w:style w:type="paragraph" w:styleId="style3">
    <w:name w:val="heading 3"/>
    <w:next w:val="style0"/>
    <w:qFormat/>
    <w:uiPriority w:val="0"/>
    <w:pPr>
      <w:spacing w:before="0" w:beforeAutospacing="true" w:after="0" w:afterAutospacing="true"/>
      <w:jc w:val="left"/>
    </w:pPr>
    <w:rPr>
      <w:rFonts w:ascii="SimSun" w:cs="SimSun" w:eastAsia="SimSun" w:hAnsi="SimSun" w:hint="eastAsia"/>
      <w:b/>
      <w:bCs/>
      <w:kern w:val="0"/>
      <w:sz w:val="26"/>
      <w:szCs w:val="26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  <w:bCs/>
    </w:rPr>
  </w:style>
  <w:style w:type="paragraph" w:styleId="style94">
    <w:name w:val="Normal (Web)"/>
    <w:next w:val="style94"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szCs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1100</Words>
  <Pages>5</Pages>
  <Characters>8252</Characters>
  <Application>WPS Office</Application>
  <DocSecurity>0</DocSecurity>
  <Paragraphs>118</Paragraphs>
  <ScaleCrop>false</ScaleCrop>
  <LinksUpToDate>false</LinksUpToDate>
  <CharactersWithSpaces>9259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2025-11-27T07:42:09Z</dcterms:created>
  <dc:creator>Василий</dc:creator>
  <lastModifiedBy>V2027</lastModifiedBy>
  <dcterms:modified xsi:type="dcterms:W3CDTF">2025-12-08T07:53:32Z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231a69f1b44548dda688845838dbb0a9</vt:lpwstr>
  </property>
</Properties>
</file>